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0D" w:rsidRPr="001C1495" w:rsidRDefault="008F1C0D" w:rsidP="008F1C0D">
      <w:pPr>
        <w:widowControl/>
        <w:spacing w:before="100" w:beforeAutospacing="1" w:after="100" w:afterAutospacing="1"/>
        <w:ind w:firstLineChars="196" w:firstLine="627"/>
        <w:outlineLvl w:val="0"/>
        <w:rPr>
          <w:rFonts w:ascii="方正仿宋_GBK" w:eastAsia="方正仿宋_GBK" w:hAnsi="宋体" w:cs="宋体" w:hint="eastAsia"/>
          <w:bCs/>
          <w:kern w:val="36"/>
          <w:sz w:val="32"/>
          <w:szCs w:val="32"/>
        </w:rPr>
      </w:pPr>
      <w:bookmarkStart w:id="0" w:name="_GoBack"/>
      <w:r>
        <w:rPr>
          <w:rFonts w:ascii="方正仿宋_GBK" w:eastAsia="方正仿宋_GBK" w:hAnsi="宋体" w:cs="宋体" w:hint="eastAsia"/>
          <w:bCs/>
          <w:kern w:val="36"/>
          <w:sz w:val="32"/>
          <w:szCs w:val="32"/>
        </w:rPr>
        <w:t>附件一：</w:t>
      </w:r>
      <w:r w:rsidRPr="001C1495">
        <w:rPr>
          <w:rFonts w:ascii="方正仿宋_GBK" w:eastAsia="方正仿宋_GBK" w:hAnsi="宋体" w:cs="宋体" w:hint="eastAsia"/>
          <w:bCs/>
          <w:kern w:val="36"/>
          <w:sz w:val="32"/>
          <w:szCs w:val="32"/>
        </w:rPr>
        <w:t>考试介绍</w:t>
      </w:r>
    </w:p>
    <w:bookmarkEnd w:id="0"/>
    <w:p w:rsidR="008F1C0D" w:rsidRPr="001C1495" w:rsidRDefault="008F1C0D" w:rsidP="008F1C0D">
      <w:pPr>
        <w:widowControl/>
        <w:spacing w:before="100" w:beforeAutospacing="1" w:after="100" w:afterAutospacing="1"/>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t xml:space="preserve">　　全国计算机等级考试（National Computer Rank Examination，简称NCRE），是经原国家教育委员会（现教育部）批准，由教育部考试中心主办，面向全体社会成员，用于考查应试人员计算机应用知识与技能的全国性计算机水平测评体系。　</w:t>
      </w:r>
    </w:p>
    <w:p w:rsidR="008F1C0D" w:rsidRPr="001C1495" w:rsidRDefault="008F1C0D" w:rsidP="008F1C0D">
      <w:pPr>
        <w:widowControl/>
        <w:spacing w:before="100" w:beforeAutospacing="1" w:after="100" w:afterAutospacing="1"/>
        <w:ind w:left="360"/>
        <w:jc w:val="center"/>
        <w:rPr>
          <w:rFonts w:ascii="方正仿宋_GBK" w:eastAsia="方正仿宋_GBK" w:hAnsi="宋体" w:cs="宋体" w:hint="eastAsia"/>
          <w:kern w:val="0"/>
          <w:sz w:val="32"/>
          <w:szCs w:val="32"/>
        </w:rPr>
      </w:pPr>
      <w:r w:rsidRPr="001C1495">
        <w:rPr>
          <w:rFonts w:ascii="方正仿宋_GBK" w:eastAsia="方正仿宋_GBK" w:hAnsi="宋体" w:cs="宋体" w:hint="eastAsia"/>
          <w:b/>
          <w:bCs/>
          <w:kern w:val="0"/>
          <w:sz w:val="32"/>
          <w:szCs w:val="32"/>
        </w:rPr>
        <w:t>NCRE级别科目设置及证书体系（2021年版）</w:t>
      </w:r>
    </w:p>
    <w:tbl>
      <w:tblPr>
        <w:tblW w:w="481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2674"/>
        <w:gridCol w:w="782"/>
        <w:gridCol w:w="1002"/>
        <w:gridCol w:w="1462"/>
        <w:gridCol w:w="1655"/>
      </w:tblGrid>
      <w:tr w:rsidR="008F1C0D" w:rsidRPr="001C1495" w:rsidTr="001B1A90">
        <w:trPr>
          <w:tblCellSpacing w:w="0" w:type="dxa"/>
        </w:trPr>
        <w:tc>
          <w:tcPr>
            <w:tcW w:w="0" w:type="auto"/>
            <w:vAlign w:val="center"/>
            <w:hideMark/>
          </w:tcPr>
          <w:p w:rsidR="008F1C0D" w:rsidRPr="001C1495" w:rsidRDefault="008F1C0D" w:rsidP="001B1A90">
            <w:pPr>
              <w:widowControl/>
              <w:jc w:val="left"/>
              <w:rPr>
                <w:rFonts w:ascii="方正仿宋_GBK" w:eastAsia="方正仿宋_GBK" w:hAnsi="宋体" w:cs="宋体" w:hint="eastAsia"/>
                <w:kern w:val="0"/>
                <w:szCs w:val="21"/>
              </w:rPr>
            </w:pPr>
            <w:r w:rsidRPr="001C1495">
              <w:rPr>
                <w:rFonts w:ascii="方正仿宋_GBK" w:eastAsia="方正仿宋_GBK" w:hAnsi="宋体" w:cs="宋体" w:hint="eastAsia"/>
                <w:b/>
                <w:bCs/>
                <w:kern w:val="0"/>
                <w:szCs w:val="21"/>
              </w:rPr>
              <w:t xml:space="preserve">级别 </w:t>
            </w:r>
          </w:p>
        </w:tc>
        <w:tc>
          <w:tcPr>
            <w:tcW w:w="1666" w:type="pct"/>
            <w:vAlign w:val="center"/>
            <w:hideMark/>
          </w:tcPr>
          <w:p w:rsidR="008F1C0D" w:rsidRPr="001C1495" w:rsidRDefault="008F1C0D" w:rsidP="001B1A90">
            <w:pPr>
              <w:widowControl/>
              <w:jc w:val="left"/>
              <w:rPr>
                <w:rFonts w:ascii="方正仿宋_GBK" w:eastAsia="方正仿宋_GBK" w:hAnsi="宋体" w:cs="宋体" w:hint="eastAsia"/>
                <w:kern w:val="0"/>
                <w:szCs w:val="21"/>
              </w:rPr>
            </w:pPr>
            <w:r w:rsidRPr="001C1495">
              <w:rPr>
                <w:rFonts w:ascii="方正仿宋_GBK" w:eastAsia="方正仿宋_GBK" w:hAnsi="宋体" w:cs="宋体" w:hint="eastAsia"/>
                <w:b/>
                <w:bCs/>
                <w:kern w:val="0"/>
                <w:szCs w:val="21"/>
              </w:rPr>
              <w:t xml:space="preserve">科目名称 </w:t>
            </w:r>
          </w:p>
        </w:tc>
        <w:tc>
          <w:tcPr>
            <w:tcW w:w="487" w:type="pct"/>
            <w:vAlign w:val="center"/>
            <w:hideMark/>
          </w:tcPr>
          <w:p w:rsidR="008F1C0D" w:rsidRPr="001C1495" w:rsidRDefault="008F1C0D" w:rsidP="001B1A90">
            <w:pPr>
              <w:widowControl/>
              <w:jc w:val="left"/>
              <w:rPr>
                <w:rFonts w:ascii="方正仿宋_GBK" w:eastAsia="方正仿宋_GBK" w:hAnsi="宋体" w:cs="宋体" w:hint="eastAsia"/>
                <w:kern w:val="0"/>
                <w:szCs w:val="21"/>
              </w:rPr>
            </w:pPr>
            <w:r w:rsidRPr="001C1495">
              <w:rPr>
                <w:rFonts w:ascii="方正仿宋_GBK" w:eastAsia="方正仿宋_GBK" w:hAnsi="宋体" w:cs="宋体" w:hint="eastAsia"/>
                <w:b/>
                <w:bCs/>
                <w:kern w:val="0"/>
                <w:szCs w:val="21"/>
              </w:rPr>
              <w:t xml:space="preserve">科目代码 </w:t>
            </w:r>
          </w:p>
        </w:tc>
        <w:tc>
          <w:tcPr>
            <w:tcW w:w="624" w:type="pct"/>
            <w:vAlign w:val="center"/>
            <w:hideMark/>
          </w:tcPr>
          <w:p w:rsidR="008F1C0D" w:rsidRPr="001C1495" w:rsidRDefault="008F1C0D" w:rsidP="001B1A90">
            <w:pPr>
              <w:widowControl/>
              <w:jc w:val="left"/>
              <w:rPr>
                <w:rFonts w:ascii="方正仿宋_GBK" w:eastAsia="方正仿宋_GBK" w:hAnsi="宋体" w:cs="宋体" w:hint="eastAsia"/>
                <w:kern w:val="0"/>
                <w:szCs w:val="21"/>
              </w:rPr>
            </w:pPr>
            <w:r w:rsidRPr="001C1495">
              <w:rPr>
                <w:rFonts w:ascii="方正仿宋_GBK" w:eastAsia="方正仿宋_GBK" w:hAnsi="宋体" w:cs="宋体" w:hint="eastAsia"/>
                <w:b/>
                <w:bCs/>
                <w:kern w:val="0"/>
                <w:szCs w:val="21"/>
              </w:rPr>
              <w:t xml:space="preserve">考试时间 </w:t>
            </w:r>
          </w:p>
        </w:tc>
        <w:tc>
          <w:tcPr>
            <w:tcW w:w="911" w:type="pct"/>
            <w:vAlign w:val="center"/>
            <w:hideMark/>
          </w:tcPr>
          <w:p w:rsidR="008F1C0D" w:rsidRPr="001C1495" w:rsidRDefault="008F1C0D" w:rsidP="001B1A90">
            <w:pPr>
              <w:widowControl/>
              <w:jc w:val="left"/>
              <w:rPr>
                <w:rFonts w:ascii="方正仿宋_GBK" w:eastAsia="方正仿宋_GBK" w:hAnsi="宋体" w:cs="宋体" w:hint="eastAsia"/>
                <w:kern w:val="0"/>
                <w:szCs w:val="21"/>
              </w:rPr>
            </w:pPr>
            <w:r w:rsidRPr="001C1495">
              <w:rPr>
                <w:rFonts w:ascii="方正仿宋_GBK" w:eastAsia="方正仿宋_GBK" w:hAnsi="宋体" w:cs="宋体" w:hint="eastAsia"/>
                <w:b/>
                <w:bCs/>
                <w:kern w:val="0"/>
                <w:szCs w:val="21"/>
              </w:rPr>
              <w:t xml:space="preserve">考核课程代码 </w:t>
            </w:r>
          </w:p>
        </w:tc>
        <w:tc>
          <w:tcPr>
            <w:tcW w:w="1031" w:type="pct"/>
            <w:vAlign w:val="center"/>
            <w:hideMark/>
          </w:tcPr>
          <w:p w:rsidR="008F1C0D" w:rsidRPr="001C1495" w:rsidRDefault="008F1C0D" w:rsidP="001B1A90">
            <w:pPr>
              <w:widowControl/>
              <w:jc w:val="left"/>
              <w:rPr>
                <w:rFonts w:ascii="方正仿宋_GBK" w:eastAsia="方正仿宋_GBK" w:hAnsi="宋体" w:cs="宋体" w:hint="eastAsia"/>
                <w:kern w:val="0"/>
                <w:szCs w:val="21"/>
              </w:rPr>
            </w:pPr>
            <w:r w:rsidRPr="001C1495">
              <w:rPr>
                <w:rFonts w:ascii="方正仿宋_GBK" w:eastAsia="方正仿宋_GBK" w:hAnsi="宋体" w:cs="宋体" w:hint="eastAsia"/>
                <w:b/>
                <w:bCs/>
                <w:kern w:val="0"/>
                <w:szCs w:val="21"/>
              </w:rPr>
              <w:t xml:space="preserve">获证条件 </w:t>
            </w:r>
          </w:p>
        </w:tc>
      </w:tr>
      <w:tr w:rsidR="008F1C0D" w:rsidRPr="001C1495" w:rsidTr="001B1A90">
        <w:trPr>
          <w:tblCellSpacing w:w="0" w:type="dxa"/>
        </w:trPr>
        <w:tc>
          <w:tcPr>
            <w:tcW w:w="0" w:type="auto"/>
            <w:vMerge w:val="restar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一级</w:t>
            </w: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计算机基础及WPS Office应用</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14</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90分钟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114</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科目14考试合格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计算机基础及MS Office应用</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15</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90分钟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115</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科目15考试合格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计算机基础及Photoshop应用</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16</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90分钟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116</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科目16考试合格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网络安全素质教育</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17</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90分钟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117</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科目17考试合格</w:t>
            </w:r>
          </w:p>
        </w:tc>
      </w:tr>
      <w:tr w:rsidR="008F1C0D" w:rsidRPr="001C1495" w:rsidTr="001B1A90">
        <w:trPr>
          <w:tblCellSpacing w:w="0" w:type="dxa"/>
        </w:trPr>
        <w:tc>
          <w:tcPr>
            <w:tcW w:w="0" w:type="auto"/>
            <w:vMerge w:val="restar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二级</w:t>
            </w: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C语言程序设计</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24</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201、224</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科目24考试合格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Java语言程序设计</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28</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201、228</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科目28考试合格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Access数据库程序设计</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29</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201、229</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科目29考试合格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C++语言程序设计</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61</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201、261</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科目61考试合格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MySQL数据库程序设计</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63</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201、263</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科目63考试合格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Web程序设计</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64</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201、264</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科目64考试合格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MS Office高级应用与设计</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65</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201、265</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科目65考试合格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Python语言程序设计</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66</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201、266</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科目66考试合格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WPS Office高级应用与设计</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67</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201、267</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科目67考试合格</w:t>
            </w:r>
          </w:p>
        </w:tc>
      </w:tr>
      <w:tr w:rsidR="008F1C0D" w:rsidRPr="001C1495" w:rsidTr="001B1A90">
        <w:trPr>
          <w:tblCellSpacing w:w="0" w:type="dxa"/>
        </w:trPr>
        <w:tc>
          <w:tcPr>
            <w:tcW w:w="0" w:type="auto"/>
            <w:vMerge w:val="restar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三级</w:t>
            </w: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网络技术</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35</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335</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科目35考试合格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数据库技术</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36</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336</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科目36考试合格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信息安全技术</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38</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338</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科目38考试合格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嵌入式系统开发技术</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39</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339</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科目39考试合格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Linux应用与开发技术</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71</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120分钟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371</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科目71考试合格</w:t>
            </w:r>
          </w:p>
        </w:tc>
      </w:tr>
      <w:tr w:rsidR="008F1C0D" w:rsidRPr="001C1495" w:rsidTr="001B1A90">
        <w:trPr>
          <w:trHeight w:val="1120"/>
          <w:tblCellSpacing w:w="0" w:type="dxa"/>
        </w:trPr>
        <w:tc>
          <w:tcPr>
            <w:tcW w:w="0" w:type="auto"/>
            <w:vMerge w:val="restar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四级</w:t>
            </w: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网络工程师</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41</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90分钟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401、403</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获得科目35证书，</w:t>
            </w:r>
          </w:p>
          <w:p w:rsidR="008F1C0D" w:rsidRPr="001C1495" w:rsidRDefault="008F1C0D" w:rsidP="001B1A90">
            <w:pPr>
              <w:widowControl/>
              <w:spacing w:before="100" w:beforeAutospacing="1" w:after="100" w:afterAutospacing="1"/>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科目41考试合格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数据库工程师</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42</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90分钟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401、404</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获得科目36证书，</w:t>
            </w:r>
          </w:p>
          <w:p w:rsidR="008F1C0D" w:rsidRPr="001C1495" w:rsidRDefault="008F1C0D" w:rsidP="001B1A90">
            <w:pPr>
              <w:widowControl/>
              <w:spacing w:before="100" w:beforeAutospacing="1" w:after="100" w:afterAutospacing="1"/>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lastRenderedPageBreak/>
              <w:t>科目42考试合格</w:t>
            </w:r>
          </w:p>
        </w:tc>
      </w:tr>
      <w:tr w:rsidR="008F1C0D" w:rsidRPr="001C1495" w:rsidTr="001B1A90">
        <w:trPr>
          <w:trHeight w:val="1106"/>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信息安全工程师</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44</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90分钟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401、403</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获得科目38证书，</w:t>
            </w:r>
          </w:p>
          <w:p w:rsidR="008F1C0D" w:rsidRPr="001C1495" w:rsidRDefault="008F1C0D" w:rsidP="001B1A90">
            <w:pPr>
              <w:widowControl/>
              <w:spacing w:before="100" w:beforeAutospacing="1" w:after="100" w:afterAutospacing="1"/>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科目44考试合格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嵌入式系统开发工程师</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45</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90分钟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401、402</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获得科目39证书，</w:t>
            </w:r>
          </w:p>
          <w:p w:rsidR="008F1C0D" w:rsidRPr="001C1495" w:rsidRDefault="008F1C0D" w:rsidP="001B1A90">
            <w:pPr>
              <w:widowControl/>
              <w:spacing w:before="100" w:beforeAutospacing="1" w:after="100" w:afterAutospacing="1"/>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科目45考试合格</w:t>
            </w:r>
          </w:p>
        </w:tc>
      </w:tr>
      <w:tr w:rsidR="008F1C0D" w:rsidRPr="001C1495" w:rsidTr="001B1A90">
        <w:trPr>
          <w:tblCellSpacing w:w="0" w:type="dxa"/>
        </w:trPr>
        <w:tc>
          <w:tcPr>
            <w:tcW w:w="0" w:type="auto"/>
            <w:vMerge/>
            <w:vAlign w:val="center"/>
            <w:hideMark/>
          </w:tcPr>
          <w:p w:rsidR="008F1C0D" w:rsidRPr="001C1495" w:rsidRDefault="008F1C0D" w:rsidP="001B1A90">
            <w:pPr>
              <w:widowControl/>
              <w:jc w:val="center"/>
              <w:rPr>
                <w:rFonts w:ascii="方正仿宋_GBK" w:eastAsia="方正仿宋_GBK" w:hAnsi="宋体" w:cs="宋体" w:hint="eastAsia"/>
                <w:kern w:val="0"/>
                <w:szCs w:val="21"/>
              </w:rPr>
            </w:pPr>
          </w:p>
        </w:tc>
        <w:tc>
          <w:tcPr>
            <w:tcW w:w="1666"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Linux应用与</w:t>
            </w:r>
            <w:proofErr w:type="gramStart"/>
            <w:r w:rsidRPr="001C1495">
              <w:rPr>
                <w:rFonts w:ascii="方正仿宋_GBK" w:eastAsia="方正仿宋_GBK" w:hAnsi="宋体" w:cs="宋体" w:hint="eastAsia"/>
                <w:kern w:val="0"/>
                <w:szCs w:val="21"/>
              </w:rPr>
              <w:t>开发开发</w:t>
            </w:r>
            <w:proofErr w:type="gramEnd"/>
            <w:r w:rsidRPr="001C1495">
              <w:rPr>
                <w:rFonts w:ascii="方正仿宋_GBK" w:eastAsia="方正仿宋_GBK" w:hAnsi="宋体" w:cs="宋体" w:hint="eastAsia"/>
                <w:kern w:val="0"/>
                <w:szCs w:val="21"/>
              </w:rPr>
              <w:t>工程师</w:t>
            </w:r>
          </w:p>
        </w:tc>
        <w:tc>
          <w:tcPr>
            <w:tcW w:w="487"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46</w:t>
            </w:r>
          </w:p>
        </w:tc>
        <w:tc>
          <w:tcPr>
            <w:tcW w:w="624"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90分钟</w:t>
            </w:r>
          </w:p>
        </w:tc>
        <w:tc>
          <w:tcPr>
            <w:tcW w:w="91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401、402</w:t>
            </w:r>
          </w:p>
        </w:tc>
        <w:tc>
          <w:tcPr>
            <w:tcW w:w="1031" w:type="pct"/>
            <w:vAlign w:val="center"/>
            <w:hideMark/>
          </w:tcPr>
          <w:p w:rsidR="008F1C0D" w:rsidRPr="001C1495" w:rsidRDefault="008F1C0D" w:rsidP="001B1A90">
            <w:pPr>
              <w:widowControl/>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获得科目71证书，</w:t>
            </w:r>
          </w:p>
          <w:p w:rsidR="008F1C0D" w:rsidRPr="001C1495" w:rsidRDefault="008F1C0D" w:rsidP="001B1A90">
            <w:pPr>
              <w:widowControl/>
              <w:spacing w:before="100" w:beforeAutospacing="1" w:after="100" w:afterAutospacing="1"/>
              <w:jc w:val="center"/>
              <w:rPr>
                <w:rFonts w:ascii="方正仿宋_GBK" w:eastAsia="方正仿宋_GBK" w:hAnsi="宋体" w:cs="宋体" w:hint="eastAsia"/>
                <w:kern w:val="0"/>
                <w:szCs w:val="21"/>
              </w:rPr>
            </w:pPr>
            <w:r w:rsidRPr="001C1495">
              <w:rPr>
                <w:rFonts w:ascii="方正仿宋_GBK" w:eastAsia="方正仿宋_GBK" w:hAnsi="宋体" w:cs="宋体" w:hint="eastAsia"/>
                <w:kern w:val="0"/>
                <w:szCs w:val="21"/>
              </w:rPr>
              <w:t>科目46考试合格</w:t>
            </w:r>
          </w:p>
        </w:tc>
      </w:tr>
    </w:tbl>
    <w:p w:rsidR="008F1C0D" w:rsidRPr="001C1495" w:rsidRDefault="008F1C0D" w:rsidP="008F1C0D">
      <w:pPr>
        <w:widowControl/>
        <w:spacing w:before="100" w:beforeAutospacing="1" w:after="100" w:afterAutospacing="1"/>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t xml:space="preserve">　　其中：</w:t>
      </w:r>
    </w:p>
    <w:p w:rsidR="008F1C0D" w:rsidRPr="001C1495" w:rsidRDefault="008F1C0D" w:rsidP="008F1C0D">
      <w:pPr>
        <w:widowControl/>
        <w:spacing w:before="100" w:beforeAutospacing="1" w:after="100" w:afterAutospacing="1"/>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t xml:space="preserve">　　</w:t>
      </w:r>
      <w:r w:rsidRPr="001C1495">
        <w:rPr>
          <w:rFonts w:ascii="方正仿宋_GBK" w:eastAsia="方正仿宋_GBK" w:hAnsi="宋体" w:cs="宋体" w:hint="eastAsia"/>
          <w:b/>
          <w:bCs/>
          <w:kern w:val="0"/>
          <w:sz w:val="32"/>
          <w:szCs w:val="32"/>
        </w:rPr>
        <w:t>一级：</w:t>
      </w:r>
      <w:r w:rsidRPr="001C1495">
        <w:rPr>
          <w:rFonts w:ascii="方正仿宋_GBK" w:eastAsia="方正仿宋_GBK" w:hAnsi="宋体" w:cs="宋体" w:hint="eastAsia"/>
          <w:kern w:val="0"/>
          <w:sz w:val="32"/>
          <w:szCs w:val="32"/>
        </w:rPr>
        <w:t>操作技能级/信息素养。考核计算机基础知识及计算机基本操作能力，包括Office办公软件、图形图像软件、网络安全素质教育。</w:t>
      </w:r>
    </w:p>
    <w:p w:rsidR="008F1C0D" w:rsidRPr="001C1495" w:rsidRDefault="008F1C0D" w:rsidP="008F1C0D">
      <w:pPr>
        <w:widowControl/>
        <w:spacing w:before="100" w:beforeAutospacing="1" w:after="100" w:afterAutospacing="1"/>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t xml:space="preserve">　　</w:t>
      </w:r>
      <w:r w:rsidRPr="001C1495">
        <w:rPr>
          <w:rFonts w:ascii="方正仿宋_GBK" w:eastAsia="方正仿宋_GBK" w:hAnsi="宋体" w:cs="宋体" w:hint="eastAsia"/>
          <w:b/>
          <w:bCs/>
          <w:kern w:val="0"/>
          <w:sz w:val="32"/>
          <w:szCs w:val="32"/>
        </w:rPr>
        <w:t>二级：</w:t>
      </w:r>
      <w:r w:rsidRPr="001C1495">
        <w:rPr>
          <w:rFonts w:ascii="方正仿宋_GBK" w:eastAsia="方正仿宋_GBK" w:hAnsi="宋体" w:cs="宋体" w:hint="eastAsia"/>
          <w:kern w:val="0"/>
          <w:sz w:val="32"/>
          <w:szCs w:val="32"/>
        </w:rPr>
        <w:t>程序设计/办公软件高级应用级。考核内容包括计算机语言与基础程序设计能力，要求参试者掌握一门计算机语言，可选类别有高级语言程序设计类、数据库程序设计类等；二级还包括办公软件高级应用能力，要求参试者具有计算机应用知识及Office办公软件的高级应用能力，能够在实际办公环境中开展具体应用。</w:t>
      </w:r>
    </w:p>
    <w:p w:rsidR="008F1C0D" w:rsidRPr="001C1495" w:rsidRDefault="008F1C0D" w:rsidP="008F1C0D">
      <w:pPr>
        <w:widowControl/>
        <w:spacing w:before="100" w:beforeAutospacing="1" w:after="100" w:afterAutospacing="1"/>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t xml:space="preserve">　　</w:t>
      </w:r>
      <w:r w:rsidRPr="001C1495">
        <w:rPr>
          <w:rFonts w:ascii="方正仿宋_GBK" w:eastAsia="方正仿宋_GBK" w:hAnsi="宋体" w:cs="宋体" w:hint="eastAsia"/>
          <w:b/>
          <w:bCs/>
          <w:kern w:val="0"/>
          <w:sz w:val="32"/>
          <w:szCs w:val="32"/>
        </w:rPr>
        <w:t>三级：</w:t>
      </w:r>
      <w:r w:rsidRPr="001C1495">
        <w:rPr>
          <w:rFonts w:ascii="方正仿宋_GBK" w:eastAsia="方正仿宋_GBK" w:hAnsi="宋体" w:cs="宋体" w:hint="eastAsia"/>
          <w:kern w:val="0"/>
          <w:sz w:val="32"/>
          <w:szCs w:val="32"/>
        </w:rPr>
        <w:t>工程师预备级。三级证书考核面向应用、面向职业的岗位专业技能。</w:t>
      </w:r>
    </w:p>
    <w:p w:rsidR="008F1C0D" w:rsidRPr="001C1495" w:rsidRDefault="008F1C0D" w:rsidP="008F1C0D">
      <w:pPr>
        <w:widowControl/>
        <w:spacing w:before="100" w:beforeAutospacing="1" w:after="100" w:afterAutospacing="1"/>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lastRenderedPageBreak/>
        <w:t xml:space="preserve">　　</w:t>
      </w:r>
      <w:r w:rsidRPr="001C1495">
        <w:rPr>
          <w:rFonts w:ascii="方正仿宋_GBK" w:eastAsia="方正仿宋_GBK" w:hAnsi="宋体" w:cs="宋体" w:hint="eastAsia"/>
          <w:b/>
          <w:bCs/>
          <w:kern w:val="0"/>
          <w:sz w:val="32"/>
          <w:szCs w:val="32"/>
        </w:rPr>
        <w:t>四级：</w:t>
      </w:r>
      <w:r w:rsidRPr="001C1495">
        <w:rPr>
          <w:rFonts w:ascii="方正仿宋_GBK" w:eastAsia="方正仿宋_GBK" w:hAnsi="宋体" w:cs="宋体" w:hint="eastAsia"/>
          <w:kern w:val="0"/>
          <w:sz w:val="32"/>
          <w:szCs w:val="32"/>
        </w:rPr>
        <w:t>工程师级。四级证书面向已持有三级相关证书的考生，考核计算机专业课程，是面向应用、面向职业的工程师岗位证书。</w:t>
      </w:r>
    </w:p>
    <w:p w:rsidR="008F1C0D" w:rsidRPr="001C1495" w:rsidRDefault="008F1C0D" w:rsidP="008F1C0D">
      <w:pPr>
        <w:widowControl/>
        <w:spacing w:before="100" w:beforeAutospacing="1" w:after="100" w:afterAutospacing="1"/>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t xml:space="preserve">　　报名者不受年龄、职业、学历等限制，均可根据自己学习情况和实际能力选考相应的级别和科目。考生可按照省级承办机构公布的流程在网上进行报名。</w:t>
      </w:r>
    </w:p>
    <w:p w:rsidR="008F1C0D" w:rsidRPr="001C1495" w:rsidRDefault="008F1C0D" w:rsidP="008F1C0D">
      <w:pPr>
        <w:widowControl/>
        <w:spacing w:before="100" w:beforeAutospacing="1" w:after="100" w:afterAutospacing="1"/>
        <w:jc w:val="left"/>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t xml:space="preserve">　　每次考试具体报名时间由各省级承办机构规定，可登录各省级承办机构网站查询。</w:t>
      </w:r>
    </w:p>
    <w:p w:rsidR="008F1C0D" w:rsidRPr="001C1495" w:rsidRDefault="008F1C0D" w:rsidP="008F1C0D">
      <w:pPr>
        <w:widowControl/>
        <w:spacing w:before="100" w:beforeAutospacing="1" w:after="100" w:afterAutospacing="1"/>
        <w:jc w:val="left"/>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t xml:space="preserve">　　NCRE考试实行百分制计分，但以等第形式通知考生成绩。成绩等第分为“优秀”、“良好”、“及格”、“不及格”四等。100-90分为“优秀”，89-80分为“良好”，79-60分为“及格”，59-0分为“不及格”。</w:t>
      </w:r>
    </w:p>
    <w:p w:rsidR="008F1C0D" w:rsidRPr="001C1495" w:rsidRDefault="008F1C0D" w:rsidP="008F1C0D">
      <w:pPr>
        <w:widowControl/>
        <w:spacing w:before="100" w:beforeAutospacing="1" w:after="100" w:afterAutospacing="1"/>
        <w:jc w:val="left"/>
        <w:rPr>
          <w:rFonts w:ascii="方正仿宋_GBK" w:eastAsia="方正仿宋_GBK" w:hAnsi="宋体" w:cs="宋体" w:hint="eastAsia"/>
          <w:kern w:val="0"/>
          <w:sz w:val="32"/>
          <w:szCs w:val="32"/>
        </w:rPr>
      </w:pPr>
      <w:r w:rsidRPr="001C1495">
        <w:rPr>
          <w:rFonts w:ascii="方正仿宋_GBK" w:eastAsia="方正仿宋_GBK" w:hAnsi="宋体" w:cs="宋体" w:hint="eastAsia"/>
          <w:kern w:val="0"/>
          <w:sz w:val="32"/>
          <w:szCs w:val="32"/>
        </w:rPr>
        <w:t xml:space="preserve">　　考试成绩优秀者，在证书上注明“优秀”字样；考试成绩良好者，在证书上注明“良好”字样；考试成绩及格者，在证书上注明“合格”字样。</w:t>
      </w:r>
    </w:p>
    <w:p w:rsidR="00991B1C" w:rsidRPr="008F1C0D" w:rsidRDefault="00991B1C"/>
    <w:sectPr w:rsidR="00991B1C" w:rsidRPr="008F1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0D"/>
    <w:rsid w:val="008F1C0D"/>
    <w:rsid w:val="00991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C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C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1463</Characters>
  <Application>Microsoft Office Word</Application>
  <DocSecurity>0</DocSecurity>
  <Lines>12</Lines>
  <Paragraphs>3</Paragraphs>
  <ScaleCrop>false</ScaleCrop>
  <Company>Microsoft</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lzz</dc:creator>
  <cp:lastModifiedBy>lzz</cp:lastModifiedBy>
  <cp:revision>1</cp:revision>
  <dcterms:created xsi:type="dcterms:W3CDTF">2021-07-06T06:38:00Z</dcterms:created>
  <dcterms:modified xsi:type="dcterms:W3CDTF">2021-07-06T06:39:00Z</dcterms:modified>
</cp:coreProperties>
</file>